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6DD4" w14:textId="77777777" w:rsidR="00AE55DE" w:rsidRDefault="00000000">
      <w:pPr>
        <w:pStyle w:val="Heading1"/>
        <w:spacing w:before="0"/>
        <w:ind w:right="-720"/>
        <w:rPr>
          <w:sz w:val="48"/>
          <w:szCs w:val="48"/>
        </w:rPr>
        <w:sectPr w:rsidR="00AE55DE" w:rsidSect="00350CCC">
          <w:headerReference w:type="default" r:id="rId7"/>
          <w:pgSz w:w="12240" w:h="15840"/>
          <w:pgMar w:top="2880" w:right="1440" w:bottom="720" w:left="1440" w:header="720" w:footer="720" w:gutter="0"/>
          <w:pgNumType w:start="1"/>
          <w:cols w:space="720"/>
        </w:sectPr>
      </w:pPr>
      <w:r>
        <w:rPr>
          <w:noProof/>
        </w:rPr>
        <mc:AlternateContent>
          <mc:Choice Requires="wpg">
            <w:drawing>
              <wp:anchor distT="0" distB="0" distL="114300" distR="114300" simplePos="0" relativeHeight="251658240" behindDoc="0" locked="0" layoutInCell="1" hidden="0" allowOverlap="1" wp14:anchorId="3ADD2397" wp14:editId="50AB3464">
                <wp:simplePos x="0" y="0"/>
                <wp:positionH relativeFrom="column">
                  <wp:posOffset>1016000</wp:posOffset>
                </wp:positionH>
                <wp:positionV relativeFrom="paragraph">
                  <wp:posOffset>-1511299</wp:posOffset>
                </wp:positionV>
                <wp:extent cx="4924425" cy="1321305"/>
                <wp:effectExtent l="0" t="0" r="0" b="0"/>
                <wp:wrapNone/>
                <wp:docPr id="9" name="Rectangle 9"/>
                <wp:cNvGraphicFramePr/>
                <a:graphic xmlns:a="http://schemas.openxmlformats.org/drawingml/2006/main">
                  <a:graphicData uri="http://schemas.microsoft.com/office/word/2010/wordprocessingShape">
                    <wps:wsp>
                      <wps:cNvSpPr/>
                      <wps:spPr>
                        <a:xfrm>
                          <a:off x="2888550" y="3124110"/>
                          <a:ext cx="4914900" cy="1311780"/>
                        </a:xfrm>
                        <a:prstGeom prst="rect">
                          <a:avLst/>
                        </a:prstGeom>
                        <a:solidFill>
                          <a:srgbClr val="FFFFFF"/>
                        </a:solidFill>
                        <a:ln>
                          <a:noFill/>
                        </a:ln>
                      </wps:spPr>
                      <wps:txbx>
                        <w:txbxContent>
                          <w:p w14:paraId="78DBE5A0" w14:textId="77777777" w:rsidR="00AE55DE" w:rsidRDefault="00000000">
                            <w:pPr>
                              <w:spacing w:before="240" w:after="60"/>
                              <w:textDirection w:val="btLr"/>
                            </w:pPr>
                            <w:r>
                              <w:rPr>
                                <w:rFonts w:ascii="Arial" w:eastAsia="Arial" w:hAnsi="Arial" w:cs="Arial"/>
                                <w:b/>
                                <w:color w:val="000000"/>
                                <w:sz w:val="32"/>
                              </w:rPr>
                              <w:t>North Carolina Agricultural Education</w:t>
                            </w:r>
                          </w:p>
                          <w:p w14:paraId="27052243" w14:textId="77777777" w:rsidR="00AE55DE" w:rsidRDefault="00000000">
                            <w:pPr>
                              <w:textDirection w:val="btLr"/>
                            </w:pPr>
                            <w:r>
                              <w:rPr>
                                <w:rFonts w:ascii="Arial" w:eastAsia="Arial" w:hAnsi="Arial" w:cs="Arial"/>
                                <w:color w:val="000000"/>
                                <w:sz w:val="21"/>
                              </w:rPr>
                              <w:t>NC State University</w:t>
                            </w:r>
                          </w:p>
                          <w:p w14:paraId="0B0036FD" w14:textId="77777777" w:rsidR="00AE55DE" w:rsidRDefault="00000000">
                            <w:pPr>
                              <w:textDirection w:val="btLr"/>
                            </w:pPr>
                            <w:r>
                              <w:rPr>
                                <w:rFonts w:ascii="Arial" w:eastAsia="Arial" w:hAnsi="Arial" w:cs="Arial"/>
                                <w:color w:val="000000"/>
                                <w:sz w:val="21"/>
                              </w:rPr>
                              <w:t>Campus Box 7654</w:t>
                            </w:r>
                          </w:p>
                          <w:p w14:paraId="224A48CD" w14:textId="77777777" w:rsidR="00AE55DE" w:rsidRDefault="00000000">
                            <w:pPr>
                              <w:textDirection w:val="btLr"/>
                            </w:pPr>
                            <w:r>
                              <w:rPr>
                                <w:rFonts w:ascii="Arial" w:eastAsia="Arial" w:hAnsi="Arial" w:cs="Arial"/>
                                <w:color w:val="000000"/>
                                <w:sz w:val="21"/>
                              </w:rPr>
                              <w:t>Raleigh, NC  27695-7654</w:t>
                            </w:r>
                          </w:p>
                          <w:p w14:paraId="16D79F7D" w14:textId="77777777" w:rsidR="00AE55DE" w:rsidRDefault="00000000">
                            <w:pPr>
                              <w:textDirection w:val="btLr"/>
                            </w:pPr>
                            <w:r>
                              <w:rPr>
                                <w:rFonts w:ascii="Arial" w:eastAsia="Arial" w:hAnsi="Arial" w:cs="Arial"/>
                                <w:color w:val="000000"/>
                                <w:sz w:val="21"/>
                              </w:rPr>
                              <w:t>919-515-4206</w:t>
                            </w:r>
                          </w:p>
                          <w:p w14:paraId="690E4F08" w14:textId="77777777" w:rsidR="00AE55DE" w:rsidRDefault="00000000">
                            <w:pPr>
                              <w:textDirection w:val="btLr"/>
                            </w:pPr>
                            <w:r>
                              <w:rPr>
                                <w:rFonts w:ascii="Arial" w:eastAsia="Arial" w:hAnsi="Arial" w:cs="Arial"/>
                                <w:color w:val="000000"/>
                                <w:sz w:val="21"/>
                              </w:rPr>
                              <w:t>www.ncffa.org</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1016000</wp:posOffset>
                </wp:positionH>
                <wp:positionV relativeFrom="paragraph">
                  <wp:posOffset>-1511299</wp:posOffset>
                </wp:positionV>
                <wp:extent cx="4924425" cy="1321305"/>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924425" cy="132130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305C6AE" wp14:editId="1FA3DFB3">
                <wp:simplePos x="0" y="0"/>
                <wp:positionH relativeFrom="column">
                  <wp:posOffset>4013200</wp:posOffset>
                </wp:positionH>
                <wp:positionV relativeFrom="paragraph">
                  <wp:posOffset>-660399</wp:posOffset>
                </wp:positionV>
                <wp:extent cx="2295525" cy="466725"/>
                <wp:effectExtent l="0" t="0" r="0" b="0"/>
                <wp:wrapNone/>
                <wp:docPr id="8" name="Rectangle 8"/>
                <wp:cNvGraphicFramePr/>
                <a:graphic xmlns:a="http://schemas.openxmlformats.org/drawingml/2006/main">
                  <a:graphicData uri="http://schemas.microsoft.com/office/word/2010/wordprocessingShape">
                    <wps:wsp>
                      <wps:cNvSpPr/>
                      <wps:spPr>
                        <a:xfrm>
                          <a:off x="4203000" y="3551400"/>
                          <a:ext cx="2286000" cy="457200"/>
                        </a:xfrm>
                        <a:prstGeom prst="rect">
                          <a:avLst/>
                        </a:prstGeom>
                        <a:solidFill>
                          <a:srgbClr val="FFFFFF"/>
                        </a:solidFill>
                        <a:ln>
                          <a:noFill/>
                        </a:ln>
                      </wps:spPr>
                      <wps:txbx>
                        <w:txbxContent>
                          <w:p w14:paraId="052A3694" w14:textId="77777777" w:rsidR="00AE55DE" w:rsidRDefault="00000000">
                            <w:pPr>
                              <w:textDirection w:val="btLr"/>
                            </w:pPr>
                            <w:r>
                              <w:rPr>
                                <w:rFonts w:ascii="Arial" w:eastAsia="Arial" w:hAnsi="Arial" w:cs="Arial"/>
                                <w:b/>
                                <w:color w:val="000000"/>
                                <w:sz w:val="48"/>
                              </w:rPr>
                              <w:t>News Release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4013200</wp:posOffset>
                </wp:positionH>
                <wp:positionV relativeFrom="paragraph">
                  <wp:posOffset>-660399</wp:posOffset>
                </wp:positionV>
                <wp:extent cx="2295525" cy="466725"/>
                <wp:effectExtent b="0" l="0" r="0" t="0"/>
                <wp:wrapNone/>
                <wp:docPr id="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295525" cy="466725"/>
                        </a:xfrm>
                        <a:prstGeom prst="rect"/>
                        <a:ln/>
                      </pic:spPr>
                    </pic:pic>
                  </a:graphicData>
                </a:graphic>
              </wp:anchor>
            </w:drawing>
          </mc:Fallback>
        </mc:AlternateContent>
      </w:r>
    </w:p>
    <w:p w14:paraId="5CA851C7" w14:textId="77777777" w:rsidR="00AE55DE" w:rsidRDefault="00000000">
      <w:pPr>
        <w:pStyle w:val="Heading1"/>
        <w:tabs>
          <w:tab w:val="left" w:pos="5220"/>
          <w:tab w:val="left" w:pos="6120"/>
        </w:tabs>
        <w:spacing w:before="0"/>
        <w:rPr>
          <w:rFonts w:ascii="Times New Roman" w:hAnsi="Times New Roman" w:cs="Times New Roman"/>
          <w:b w:val="0"/>
          <w:sz w:val="22"/>
          <w:szCs w:val="22"/>
        </w:rPr>
      </w:pPr>
      <w:r>
        <w:rPr>
          <w:rFonts w:ascii="Times New Roman" w:hAnsi="Times New Roman" w:cs="Times New Roman"/>
          <w:sz w:val="22"/>
          <w:szCs w:val="22"/>
        </w:rPr>
        <w:t>For Immediate Release</w:t>
      </w:r>
      <w:r>
        <w:rPr>
          <w:rFonts w:ascii="Times New Roman" w:hAnsi="Times New Roman" w:cs="Times New Roman"/>
          <w:b w:val="0"/>
          <w:sz w:val="22"/>
          <w:szCs w:val="22"/>
        </w:rPr>
        <w:t xml:space="preserve">                                         Contact: Joshua Bledsoe, State Agricultural Education Leader</w:t>
      </w:r>
    </w:p>
    <w:p w14:paraId="4056317C" w14:textId="77777777" w:rsidR="00AE55DE" w:rsidRDefault="00000000">
      <w:pPr>
        <w:tabs>
          <w:tab w:val="left" w:pos="6120"/>
        </w:tabs>
        <w:rPr>
          <w:sz w:val="22"/>
          <w:szCs w:val="22"/>
        </w:rPr>
      </w:pPr>
      <w:r>
        <w:rPr>
          <w:sz w:val="22"/>
          <w:szCs w:val="22"/>
        </w:rPr>
        <w:tab/>
      </w:r>
    </w:p>
    <w:p w14:paraId="45B534FE" w14:textId="0DDED43B" w:rsidR="00AE55DE" w:rsidRDefault="00396646">
      <w:pPr>
        <w:pBdr>
          <w:top w:val="nil"/>
          <w:left w:val="nil"/>
          <w:bottom w:val="nil"/>
          <w:right w:val="nil"/>
          <w:between w:val="nil"/>
        </w:pBdr>
        <w:tabs>
          <w:tab w:val="left" w:pos="6120"/>
          <w:tab w:val="left" w:pos="7380"/>
        </w:tabs>
        <w:jc w:val="center"/>
        <w:rPr>
          <w:rFonts w:ascii="Arial" w:eastAsia="Arial" w:hAnsi="Arial" w:cs="Arial"/>
          <w:b/>
          <w:color w:val="000000"/>
        </w:rPr>
      </w:pPr>
      <w:r>
        <w:rPr>
          <w:rFonts w:ascii="Arial" w:eastAsia="Arial" w:hAnsi="Arial" w:cs="Arial"/>
          <w:b/>
          <w:color w:val="000000"/>
        </w:rPr>
        <w:t>FFA Chapter Awarded Program Improvement Grant</w:t>
      </w:r>
    </w:p>
    <w:p w14:paraId="53BED109" w14:textId="1595D3AC" w:rsidR="00AE55DE" w:rsidRDefault="00000000">
      <w:pPr>
        <w:tabs>
          <w:tab w:val="left" w:pos="6120"/>
          <w:tab w:val="left" w:pos="7380"/>
        </w:tabs>
        <w:spacing w:before="280" w:line="360" w:lineRule="auto"/>
        <w:rPr>
          <w:sz w:val="22"/>
          <w:szCs w:val="22"/>
        </w:rPr>
      </w:pPr>
      <w:r>
        <w:rPr>
          <w:b/>
          <w:sz w:val="22"/>
          <w:szCs w:val="22"/>
        </w:rPr>
        <w:t>Raleigh, NC</w:t>
      </w:r>
      <w:r>
        <w:rPr>
          <w:sz w:val="22"/>
          <w:szCs w:val="22"/>
        </w:rPr>
        <w:t xml:space="preserve"> – The ____________________________________ </w:t>
      </w:r>
      <w:r w:rsidR="00396646">
        <w:rPr>
          <w:sz w:val="22"/>
          <w:szCs w:val="22"/>
        </w:rPr>
        <w:t>FFA Chapter</w:t>
      </w:r>
      <w:r>
        <w:rPr>
          <w:sz w:val="22"/>
          <w:szCs w:val="22"/>
        </w:rPr>
        <w:t xml:space="preserve"> has been awarded a $______________ program improvement grant from the North Carolina Tobacco Trust Fund Commission.  These funds will be used to ___________________________________________________________________ _________________________________________________________________________________________.</w:t>
      </w:r>
      <w:r>
        <w:rPr>
          <w:sz w:val="22"/>
          <w:szCs w:val="22"/>
        </w:rPr>
        <w:br/>
        <w:t>During its 202</w:t>
      </w:r>
      <w:r w:rsidR="00396646">
        <w:rPr>
          <w:sz w:val="22"/>
          <w:szCs w:val="22"/>
        </w:rPr>
        <w:t>3</w:t>
      </w:r>
      <w:r>
        <w:rPr>
          <w:sz w:val="22"/>
          <w:szCs w:val="22"/>
        </w:rPr>
        <w:t xml:space="preserve"> grant cycle, the North Carolina Tobacco Trust Fund Commission awarded a grant valued at more than $</w:t>
      </w:r>
      <w:r w:rsidR="00396646">
        <w:rPr>
          <w:sz w:val="22"/>
          <w:szCs w:val="22"/>
        </w:rPr>
        <w:t>300,000</w:t>
      </w:r>
      <w:r>
        <w:rPr>
          <w:sz w:val="22"/>
          <w:szCs w:val="22"/>
        </w:rPr>
        <w:t xml:space="preserve"> to the North Carolina FFA Foundation for the North Carolina Agricultural Education Program Improvement Grant. A total of </w:t>
      </w:r>
      <w:r w:rsidR="00396646" w:rsidRPr="00396646">
        <w:rPr>
          <w:bCs/>
          <w:sz w:val="22"/>
          <w:szCs w:val="22"/>
        </w:rPr>
        <w:t>20</w:t>
      </w:r>
      <w:r>
        <w:rPr>
          <w:sz w:val="22"/>
          <w:szCs w:val="22"/>
        </w:rPr>
        <w:t xml:space="preserve"> grants, valued up to $15,000 each, have been awarded to </w:t>
      </w:r>
      <w:r w:rsidR="00396646">
        <w:rPr>
          <w:sz w:val="22"/>
          <w:szCs w:val="22"/>
        </w:rPr>
        <w:t xml:space="preserve">FFA Chapters </w:t>
      </w:r>
      <w:r>
        <w:rPr>
          <w:sz w:val="22"/>
          <w:szCs w:val="22"/>
        </w:rPr>
        <w:t>across North Carolina. Enhancing agricultural teaching programs, developing innovative projects, and purchasing much-needed classroom equipment are just some of the goals of the programs.</w:t>
      </w:r>
    </w:p>
    <w:p w14:paraId="5A661B29" w14:textId="23EFC88D" w:rsidR="00AE55DE" w:rsidRDefault="00000000">
      <w:pPr>
        <w:tabs>
          <w:tab w:val="left" w:pos="6120"/>
          <w:tab w:val="left" w:pos="7380"/>
        </w:tabs>
        <w:spacing w:before="280" w:line="360" w:lineRule="auto"/>
        <w:rPr>
          <w:sz w:val="22"/>
          <w:szCs w:val="22"/>
        </w:rPr>
      </w:pPr>
      <w:r>
        <w:rPr>
          <w:sz w:val="22"/>
          <w:szCs w:val="22"/>
        </w:rPr>
        <w:t xml:space="preserve">North Carolina FFA is a youth organization of more than </w:t>
      </w:r>
      <w:r w:rsidR="00396646">
        <w:rPr>
          <w:sz w:val="22"/>
          <w:szCs w:val="22"/>
        </w:rPr>
        <w:t>36</w:t>
      </w:r>
      <w:r>
        <w:rPr>
          <w:sz w:val="22"/>
          <w:szCs w:val="22"/>
        </w:rPr>
        <w:t xml:space="preserve">,000 student members preparing for leadership and careers in the science, business, and technology of agriculture, with more than 360 local chapters across the state.  </w:t>
      </w:r>
    </w:p>
    <w:p w14:paraId="1A2CEC62" w14:textId="77777777" w:rsidR="00AE55DE" w:rsidRDefault="00000000">
      <w:pPr>
        <w:tabs>
          <w:tab w:val="left" w:pos="6120"/>
          <w:tab w:val="left" w:pos="7380"/>
        </w:tabs>
        <w:spacing w:before="280" w:line="360" w:lineRule="auto"/>
        <w:rPr>
          <w:sz w:val="22"/>
          <w:szCs w:val="22"/>
        </w:rPr>
      </w:pPr>
      <w:r>
        <w:rPr>
          <w:sz w:val="22"/>
          <w:szCs w:val="22"/>
        </w:rPr>
        <w:t>“These grants provide valuable resources for agricultural education programs to enhance instruction, giving our students the skills necessary for success in the 21</w:t>
      </w:r>
      <w:r>
        <w:rPr>
          <w:sz w:val="22"/>
          <w:szCs w:val="22"/>
          <w:vertAlign w:val="superscript"/>
        </w:rPr>
        <w:t>st</w:t>
      </w:r>
      <w:r>
        <w:rPr>
          <w:sz w:val="22"/>
          <w:szCs w:val="22"/>
        </w:rPr>
        <w:t xml:space="preserve"> century,” said State Agricultural Education Leader Joshua Bledsoe. “We are extremely grateful to the North Carolina Tobacco Trust Fund Commission for sharing our vision and creating tremendous opportunities for students throughout the state.” </w:t>
      </w:r>
    </w:p>
    <w:p w14:paraId="48752213" w14:textId="77777777" w:rsidR="00AE55DE" w:rsidRDefault="00000000">
      <w:pPr>
        <w:tabs>
          <w:tab w:val="left" w:pos="6120"/>
          <w:tab w:val="left" w:pos="7380"/>
        </w:tabs>
        <w:spacing w:before="280" w:line="360" w:lineRule="auto"/>
        <w:rPr>
          <w:sz w:val="22"/>
          <w:szCs w:val="22"/>
        </w:rPr>
      </w:pPr>
      <w:r>
        <w:rPr>
          <w:sz w:val="22"/>
          <w:szCs w:val="22"/>
        </w:rPr>
        <w:t>The North Carolina Tobacco Trust Fund Commission was created in 2000 by the NC General Assembly to administer part of the funds from the Master Settlement Agreement (MSA) between the state and major tobacco companies. Since then, the agency has funded over 100 different projects which have touched nearly all NC farmers.</w:t>
      </w:r>
    </w:p>
    <w:p w14:paraId="50A90EC4" w14:textId="77777777" w:rsidR="00AE55DE" w:rsidRDefault="00000000">
      <w:pPr>
        <w:tabs>
          <w:tab w:val="left" w:pos="6120"/>
          <w:tab w:val="left" w:pos="7380"/>
        </w:tabs>
        <w:spacing w:before="280" w:line="360" w:lineRule="auto"/>
        <w:rPr>
          <w:sz w:val="22"/>
          <w:szCs w:val="22"/>
        </w:rPr>
      </w:pPr>
      <w:r>
        <w:rPr>
          <w:sz w:val="22"/>
          <w:szCs w:val="22"/>
        </w:rPr>
        <w:t xml:space="preserve">“We’re excited to be a partner with the FFA,” said William Upchurch, Executive Director of the North Carolina Tobacco Trust Fund Commission. “This is a great opportunity for students and teachers to feature innovative and creative projects designed to strengthen Agricultural Education. These students represent the future of agriculture in North Carolina.” </w:t>
      </w:r>
    </w:p>
    <w:p w14:paraId="00A84335" w14:textId="77777777" w:rsidR="00AE55DE" w:rsidRDefault="00000000">
      <w:pPr>
        <w:tabs>
          <w:tab w:val="left" w:pos="6120"/>
          <w:tab w:val="left" w:pos="7380"/>
        </w:tabs>
        <w:spacing w:before="280" w:line="360" w:lineRule="auto"/>
        <w:rPr>
          <w:sz w:val="22"/>
          <w:szCs w:val="22"/>
        </w:rPr>
      </w:pPr>
      <w:r>
        <w:rPr>
          <w:sz w:val="22"/>
          <w:szCs w:val="22"/>
        </w:rPr>
        <w:lastRenderedPageBreak/>
        <w:t xml:space="preserve">FFA makes a positive difference in the lives of students by developing their potential for premier leadership, personal growth, and career success through agricultural education. Visit </w:t>
      </w:r>
      <w:hyperlink r:id="rId10">
        <w:r>
          <w:rPr>
            <w:color w:val="0000FF"/>
            <w:sz w:val="22"/>
            <w:szCs w:val="22"/>
            <w:u w:val="single"/>
          </w:rPr>
          <w:t>www.ncffa.org</w:t>
        </w:r>
      </w:hyperlink>
      <w:r>
        <w:rPr>
          <w:sz w:val="22"/>
          <w:szCs w:val="22"/>
        </w:rPr>
        <w:t xml:space="preserve"> for more information.   </w:t>
      </w:r>
    </w:p>
    <w:p w14:paraId="5226FF1A" w14:textId="77777777" w:rsidR="00AE55DE" w:rsidRDefault="00AE55DE">
      <w:pPr>
        <w:widowControl w:val="0"/>
        <w:spacing w:line="360" w:lineRule="auto"/>
        <w:rPr>
          <w:color w:val="000000"/>
          <w:sz w:val="22"/>
          <w:szCs w:val="22"/>
        </w:rPr>
      </w:pPr>
    </w:p>
    <w:p w14:paraId="3D1560CA" w14:textId="77777777" w:rsidR="00AE55DE" w:rsidRDefault="00000000">
      <w:pPr>
        <w:widowControl w:val="0"/>
        <w:spacing w:line="360" w:lineRule="auto"/>
        <w:jc w:val="center"/>
        <w:rPr>
          <w:sz w:val="22"/>
          <w:szCs w:val="22"/>
        </w:rPr>
      </w:pPr>
      <w:r>
        <w:rPr>
          <w:sz w:val="22"/>
          <w:szCs w:val="22"/>
        </w:rPr>
        <w:t>###</w:t>
      </w:r>
    </w:p>
    <w:p w14:paraId="782EEA3D" w14:textId="77777777" w:rsidR="00AE55DE" w:rsidRDefault="00AE55DE">
      <w:pPr>
        <w:widowControl w:val="0"/>
        <w:spacing w:line="360" w:lineRule="auto"/>
        <w:jc w:val="center"/>
        <w:rPr>
          <w:sz w:val="22"/>
          <w:szCs w:val="22"/>
        </w:rPr>
      </w:pPr>
    </w:p>
    <w:sectPr w:rsidR="00AE55DE">
      <w:headerReference w:type="default" r:id="rId11"/>
      <w:type w:val="continuous"/>
      <w:pgSz w:w="12240" w:h="15840"/>
      <w:pgMar w:top="1440" w:right="1152"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5902" w14:textId="77777777" w:rsidR="00ED72DB" w:rsidRDefault="00ED72DB">
      <w:r>
        <w:separator/>
      </w:r>
    </w:p>
  </w:endnote>
  <w:endnote w:type="continuationSeparator" w:id="0">
    <w:p w14:paraId="63CD0984" w14:textId="77777777" w:rsidR="00ED72DB" w:rsidRDefault="00ED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98E5" w14:textId="77777777" w:rsidR="00ED72DB" w:rsidRDefault="00ED72DB">
      <w:r>
        <w:separator/>
      </w:r>
    </w:p>
  </w:footnote>
  <w:footnote w:type="continuationSeparator" w:id="0">
    <w:p w14:paraId="6BF52D3D" w14:textId="77777777" w:rsidR="00ED72DB" w:rsidRDefault="00ED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3B4A" w14:textId="77777777" w:rsidR="00AE55DE" w:rsidRDefault="00000000">
    <w:pPr>
      <w:pBdr>
        <w:top w:val="nil"/>
        <w:left w:val="nil"/>
        <w:bottom w:val="nil"/>
        <w:right w:val="nil"/>
        <w:between w:val="nil"/>
      </w:pBdr>
      <w:tabs>
        <w:tab w:val="center" w:pos="4320"/>
        <w:tab w:val="right" w:pos="8640"/>
      </w:tabs>
      <w:rPr>
        <w:color w:val="000000"/>
        <w:sz w:val="20"/>
        <w:szCs w:val="20"/>
      </w:rPr>
    </w:pPr>
    <w:r>
      <w:rPr>
        <w:noProof/>
      </w:rPr>
      <w:drawing>
        <wp:anchor distT="0" distB="0" distL="114300" distR="114300" simplePos="0" relativeHeight="251658240" behindDoc="0" locked="0" layoutInCell="1" hidden="0" allowOverlap="1" wp14:anchorId="1C1DA8ED" wp14:editId="38E65F1E">
          <wp:simplePos x="0" y="0"/>
          <wp:positionH relativeFrom="column">
            <wp:posOffset>-531626</wp:posOffset>
          </wp:positionH>
          <wp:positionV relativeFrom="paragraph">
            <wp:posOffset>-223283</wp:posOffset>
          </wp:positionV>
          <wp:extent cx="1200418" cy="1531089"/>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00418" cy="153108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8D3F" w14:textId="77777777" w:rsidR="00AE55DE" w:rsidRDefault="00AE55DE">
    <w:pPr>
      <w:pBdr>
        <w:top w:val="nil"/>
        <w:left w:val="nil"/>
        <w:bottom w:val="nil"/>
        <w:right w:val="nil"/>
        <w:between w:val="nil"/>
      </w:pBdr>
      <w:tabs>
        <w:tab w:val="center" w:pos="4320"/>
        <w:tab w:val="right" w:pos="8640"/>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DE"/>
    <w:rsid w:val="00350CCC"/>
    <w:rsid w:val="00396646"/>
    <w:rsid w:val="00567106"/>
    <w:rsid w:val="00AE55DE"/>
    <w:rsid w:val="00ED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5537F"/>
  <w15:docId w15:val="{8532B300-8D56-7F4E-8732-0F9BB298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tabs>
        <w:tab w:val="left" w:pos="6120"/>
        <w:tab w:val="left" w:pos="7380"/>
      </w:tabs>
      <w:jc w:val="center"/>
      <w:outlineLvl w:val="1"/>
    </w:pPr>
    <w:rPr>
      <w:rFonts w:ascii="Arial" w:hAnsi="Arial" w:cs="Arial"/>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tabs>
        <w:tab w:val="left" w:pos="6120"/>
        <w:tab w:val="left" w:pos="7380"/>
      </w:tabs>
      <w:jc w:val="center"/>
    </w:pPr>
    <w:rPr>
      <w:rFonts w:ascii="Arial" w:hAnsi="Arial" w:cs="Arial"/>
      <w:b/>
      <w:bCs/>
      <w:sz w:val="28"/>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5033BC"/>
    <w:pPr>
      <w:tabs>
        <w:tab w:val="center" w:pos="4320"/>
        <w:tab w:val="right" w:pos="8640"/>
      </w:tabs>
    </w:pPr>
    <w:rPr>
      <w:sz w:val="20"/>
      <w:szCs w:val="20"/>
    </w:rPr>
  </w:style>
  <w:style w:type="paragraph" w:styleId="Footer">
    <w:name w:val="footer"/>
    <w:basedOn w:val="Normal"/>
    <w:link w:val="FooterChar"/>
    <w:rsid w:val="002E0654"/>
    <w:pPr>
      <w:tabs>
        <w:tab w:val="center" w:pos="4680"/>
        <w:tab w:val="right" w:pos="9360"/>
      </w:tabs>
    </w:pPr>
  </w:style>
  <w:style w:type="character" w:customStyle="1" w:styleId="FooterChar">
    <w:name w:val="Footer Char"/>
    <w:basedOn w:val="DefaultParagraphFont"/>
    <w:link w:val="Footer"/>
    <w:rsid w:val="002E0654"/>
    <w:rPr>
      <w:sz w:val="24"/>
      <w:szCs w:val="24"/>
    </w:rPr>
  </w:style>
  <w:style w:type="character" w:styleId="UnresolvedMention">
    <w:name w:val="Unresolved Mention"/>
    <w:basedOn w:val="DefaultParagraphFont"/>
    <w:uiPriority w:val="99"/>
    <w:semiHidden/>
    <w:unhideWhenUsed/>
    <w:rsid w:val="008D3AC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ncffa.org"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SqnzKhh3p7blE1VfNv3jhG9HNw==">AMUW2mURZF4Nk3hXMtdeKMMhkS/Ao12Llz2d/mEXKIUiuCYrH3SQqK3TiMy9U0smQD9rOFK/Ujw0C46lJDA8zBB2v4E1eFLYFnVrREMNHllDPIstDiKfMK8=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FFA President</dc:creator>
  <cp:lastModifiedBy>Brooke Francher</cp:lastModifiedBy>
  <cp:revision>2</cp:revision>
  <dcterms:created xsi:type="dcterms:W3CDTF">2024-02-22T20:27:00Z</dcterms:created>
  <dcterms:modified xsi:type="dcterms:W3CDTF">2024-02-22T20:27:00Z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-254086043</vt:i4>
  </property>
  <property fmtid="{D5CDD505-2E9C-101B-9397-08002B2CF9AE}" pid="3" name="_EmailSubject">
    <vt:lpwstr/>
  </property>
  <property fmtid="{D5CDD505-2E9C-101B-9397-08002B2CF9AE}" pid="4" name="_AuthorEmail">
    <vt:lpwstr>joshua_bledsoe@ncsu.edu</vt:lpwstr>
  </property>
  <property fmtid="{D5CDD505-2E9C-101B-9397-08002B2CF9AE}" pid="5" name="_AuthorEmailDisplayName">
    <vt:lpwstr>Joshua Bledsoe</vt:lpwstr>
  </property>
  <property fmtid="{D5CDD505-2E9C-101B-9397-08002B2CF9AE}" pid="6" name="_ReviewingToolsShownOnce">
    <vt:lpwstr/>
  </property>
</Properties>
</file>